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15DE81DB" w:rsidR="00F862D6" w:rsidRPr="0091604E" w:rsidRDefault="009F7D3F" w:rsidP="009F7D3F">
            <w:pPr>
              <w:rPr>
                <w:highlight w:val="yellow"/>
              </w:rPr>
            </w:pPr>
            <w:r w:rsidRPr="009F7D3F">
              <w:rPr>
                <w:rFonts w:ascii="Helvetica" w:hAnsi="Helvetica"/>
              </w:rPr>
              <w:t>7005/2023-SŽ-SSV-Ú3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9F7D3F" w:rsidRDefault="00C23946" w:rsidP="00C23946">
            <w:r w:rsidRPr="009F7D3F">
              <w:t>Listů/příloh</w:t>
            </w:r>
          </w:p>
        </w:tc>
        <w:tc>
          <w:tcPr>
            <w:tcW w:w="2552" w:type="dxa"/>
          </w:tcPr>
          <w:p w14:paraId="33325CAE" w14:textId="494330D2" w:rsidR="00C23946" w:rsidRPr="009F7D3F" w:rsidRDefault="009F7D3F" w:rsidP="00C23946">
            <w:r w:rsidRPr="009F7D3F">
              <w:t>4</w:t>
            </w:r>
            <w:r w:rsidR="00C23946" w:rsidRPr="009F7D3F">
              <w:t>/</w:t>
            </w:r>
            <w:r w:rsidRPr="009F7D3F">
              <w:t>7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1D4269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46863BB0" w:rsidR="00C23946" w:rsidRPr="003E6B9A" w:rsidRDefault="00867652" w:rsidP="00C23946">
            <w:bookmarkStart w:id="0" w:name="Datum"/>
            <w:r>
              <w:t>20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Pr="00867652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</w:t>
      </w:r>
      <w:r w:rsidR="0091604E" w:rsidRPr="00867652">
        <w:rPr>
          <w:rFonts w:eastAsia="Calibri" w:cs="Times New Roman"/>
          <w:b/>
          <w:lang w:eastAsia="cs-CZ"/>
        </w:rPr>
        <w:t>o Pole</w:t>
      </w:r>
    </w:p>
    <w:p w14:paraId="79B119CD" w14:textId="40B2D615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67652">
        <w:rPr>
          <w:rFonts w:eastAsia="Calibri" w:cs="Times New Roman"/>
          <w:lang w:eastAsia="cs-CZ"/>
        </w:rPr>
        <w:t xml:space="preserve">Vysvětlení/ změna/ doplnění zadávací dokumentace č. </w:t>
      </w:r>
      <w:r w:rsidR="00867652" w:rsidRPr="00867652">
        <w:rPr>
          <w:rFonts w:eastAsia="Times New Roman" w:cs="Times New Roman"/>
          <w:lang w:eastAsia="cs-CZ"/>
        </w:rPr>
        <w:t>11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280273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295BF671" w14:textId="77777777" w:rsidR="00BD5319" w:rsidRPr="00280273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16EEF765" w:rsidR="00BD5319" w:rsidRPr="00280273" w:rsidRDefault="00BD5319" w:rsidP="00867652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36926816"/>
      <w:r w:rsidRPr="00280273">
        <w:rPr>
          <w:rFonts w:eastAsia="Calibri" w:cs="Times New Roman"/>
          <w:b/>
          <w:lang w:eastAsia="cs-CZ"/>
        </w:rPr>
        <w:t xml:space="preserve">Dotaz č. </w:t>
      </w:r>
      <w:r w:rsidR="00867652" w:rsidRPr="00280273">
        <w:rPr>
          <w:rFonts w:eastAsia="Calibri" w:cs="Times New Roman"/>
          <w:b/>
          <w:lang w:eastAsia="cs-CZ"/>
        </w:rPr>
        <w:t>248</w:t>
      </w:r>
      <w:r w:rsidRPr="00280273">
        <w:rPr>
          <w:rFonts w:eastAsia="Calibri" w:cs="Times New Roman"/>
          <w:b/>
          <w:lang w:eastAsia="cs-CZ"/>
        </w:rPr>
        <w:t>:</w:t>
      </w:r>
      <w:r w:rsidR="00DF02D9" w:rsidRPr="00280273">
        <w:rPr>
          <w:rFonts w:eastAsia="Calibri" w:cs="Times New Roman"/>
          <w:b/>
          <w:lang w:eastAsia="cs-CZ"/>
        </w:rPr>
        <w:t xml:space="preserve"> </w:t>
      </w:r>
    </w:p>
    <w:p w14:paraId="3B543011" w14:textId="77777777" w:rsidR="00867652" w:rsidRPr="00280273" w:rsidRDefault="00867652" w:rsidP="00867652">
      <w:pPr>
        <w:spacing w:after="0"/>
        <w:rPr>
          <w:rFonts w:cstheme="minorHAnsi"/>
          <w:u w:val="single"/>
        </w:rPr>
      </w:pPr>
      <w:bookmarkStart w:id="2" w:name="_Hlk136506188"/>
      <w:r w:rsidRPr="00280273">
        <w:rPr>
          <w:rFonts w:cstheme="minorHAnsi"/>
          <w:u w:val="single"/>
        </w:rPr>
        <w:t>SO 03-15-01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285"/>
        <w:gridCol w:w="482"/>
        <w:gridCol w:w="4932"/>
        <w:gridCol w:w="453"/>
        <w:gridCol w:w="1304"/>
      </w:tblGrid>
      <w:tr w:rsidR="00867652" w:rsidRPr="007F2EC7" w14:paraId="47B1174F" w14:textId="77777777" w:rsidTr="005D294A">
        <w:trPr>
          <w:trHeight w:val="260"/>
        </w:trPr>
        <w:tc>
          <w:tcPr>
            <w:tcW w:w="361" w:type="dxa"/>
            <w:shd w:val="clear" w:color="auto" w:fill="auto"/>
            <w:noWrap/>
            <w:vAlign w:val="bottom"/>
            <w:hideMark/>
          </w:tcPr>
          <w:p w14:paraId="27C4CAA1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8066D6">
              <w:rPr>
                <w:rFonts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39E3CC8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8066D6">
              <w:rPr>
                <w:rFonts w:cstheme="minorHAnsi"/>
                <w:color w:val="000000"/>
                <w:sz w:val="20"/>
                <w:szCs w:val="20"/>
                <w:lang w:eastAsia="cs-CZ"/>
              </w:rPr>
              <w:t>981013412</w:t>
            </w: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288EAAA3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75" w:type="dxa"/>
            <w:shd w:val="clear" w:color="auto" w:fill="auto"/>
            <w:vAlign w:val="bottom"/>
            <w:hideMark/>
          </w:tcPr>
          <w:p w14:paraId="0434EADD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8066D6">
              <w:rPr>
                <w:rFonts w:cstheme="minorHAnsi"/>
                <w:color w:val="000000"/>
                <w:sz w:val="20"/>
                <w:szCs w:val="20"/>
                <w:lang w:eastAsia="cs-CZ"/>
              </w:rPr>
              <w:t>Demolice budov zděných na MC nebo z betonu podíl konstrukcí přes 10 do 15 % těžkou mechanizací</w:t>
            </w:r>
          </w:p>
        </w:tc>
        <w:tc>
          <w:tcPr>
            <w:tcW w:w="453" w:type="dxa"/>
            <w:shd w:val="clear" w:color="auto" w:fill="auto"/>
            <w:noWrap/>
            <w:vAlign w:val="bottom"/>
            <w:hideMark/>
          </w:tcPr>
          <w:p w14:paraId="7D22C3DF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8066D6">
              <w:rPr>
                <w:rFonts w:cstheme="minorHAnsi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14:paraId="39C14CEE" w14:textId="77777777" w:rsidR="00867652" w:rsidRPr="008066D6" w:rsidRDefault="00867652" w:rsidP="00867652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8066D6">
              <w:rPr>
                <w:rFonts w:cstheme="minorHAnsi"/>
                <w:color w:val="000000"/>
                <w:sz w:val="20"/>
                <w:szCs w:val="20"/>
                <w:lang w:eastAsia="cs-CZ"/>
              </w:rPr>
              <w:t>26 850,000</w:t>
            </w:r>
          </w:p>
        </w:tc>
      </w:tr>
      <w:tr w:rsidR="00867652" w:rsidRPr="007F2EC7" w14:paraId="37375F52" w14:textId="77777777" w:rsidTr="005D294A">
        <w:trPr>
          <w:trHeight w:val="260"/>
        </w:trPr>
        <w:tc>
          <w:tcPr>
            <w:tcW w:w="361" w:type="dxa"/>
            <w:shd w:val="clear" w:color="auto" w:fill="auto"/>
            <w:noWrap/>
            <w:vAlign w:val="bottom"/>
            <w:hideMark/>
          </w:tcPr>
          <w:p w14:paraId="6FD80B29" w14:textId="77777777" w:rsidR="00867652" w:rsidRPr="008066D6" w:rsidRDefault="00867652" w:rsidP="00867652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E311F73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4D906CD9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75" w:type="dxa"/>
            <w:shd w:val="clear" w:color="auto" w:fill="auto"/>
            <w:vAlign w:val="bottom"/>
            <w:hideMark/>
          </w:tcPr>
          <w:p w14:paraId="38AC9427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066D6"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  <w:t>Demolice budov  těžkými mechanizačními prostředky z cihel, kamene, tvárnic na maltu cementovou nebo z betonu prostého s podílem konstrukcí přes 10 do 15 %</w:t>
            </w:r>
          </w:p>
        </w:tc>
        <w:tc>
          <w:tcPr>
            <w:tcW w:w="453" w:type="dxa"/>
            <w:shd w:val="clear" w:color="auto" w:fill="auto"/>
            <w:noWrap/>
            <w:vAlign w:val="bottom"/>
            <w:hideMark/>
          </w:tcPr>
          <w:p w14:paraId="4FBC7568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14:paraId="0BF0FD70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</w:p>
        </w:tc>
      </w:tr>
      <w:tr w:rsidR="00867652" w:rsidRPr="007F2EC7" w14:paraId="69ECBFD9" w14:textId="77777777" w:rsidTr="005D294A">
        <w:trPr>
          <w:trHeight w:val="260"/>
        </w:trPr>
        <w:tc>
          <w:tcPr>
            <w:tcW w:w="361" w:type="dxa"/>
            <w:shd w:val="clear" w:color="auto" w:fill="auto"/>
            <w:noWrap/>
            <w:vAlign w:val="bottom"/>
            <w:hideMark/>
          </w:tcPr>
          <w:p w14:paraId="62509804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8E4B961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09A8959C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75" w:type="dxa"/>
            <w:shd w:val="clear" w:color="auto" w:fill="auto"/>
            <w:vAlign w:val="bottom"/>
            <w:hideMark/>
          </w:tcPr>
          <w:p w14:paraId="23802D35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066D6"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  <w:t xml:space="preserve">Obestavěný prostor (předpokládaný obj)  </w:t>
            </w:r>
            <w:r w:rsidRPr="008066D6"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26850.0=26 850,000 [A]  </w:t>
            </w:r>
            <w:r w:rsidRPr="008066D6"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  <w:br/>
              <w:t>Celkem: A=26 850,000 [B]</w:t>
            </w:r>
          </w:p>
        </w:tc>
        <w:tc>
          <w:tcPr>
            <w:tcW w:w="453" w:type="dxa"/>
            <w:shd w:val="clear" w:color="auto" w:fill="auto"/>
            <w:noWrap/>
            <w:vAlign w:val="bottom"/>
            <w:hideMark/>
          </w:tcPr>
          <w:p w14:paraId="07531230" w14:textId="77777777" w:rsidR="00867652" w:rsidRPr="008066D6" w:rsidRDefault="00867652" w:rsidP="00867652">
            <w:pPr>
              <w:spacing w:after="0" w:line="240" w:lineRule="auto"/>
              <w:rPr>
                <w:rFonts w:cstheme="minorHAnsi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14:paraId="18ED7D4D" w14:textId="77777777" w:rsidR="00867652" w:rsidRPr="008066D6" w:rsidRDefault="00867652" w:rsidP="0086765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cs-CZ"/>
              </w:rPr>
            </w:pPr>
          </w:p>
        </w:tc>
      </w:tr>
    </w:tbl>
    <w:p w14:paraId="3A88CF9C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br/>
        <w:t xml:space="preserve">Domníváme se, že z projektové dokumentace není jasný rozsah demolice. </w:t>
      </w:r>
      <w:r w:rsidRPr="007F2EC7">
        <w:rPr>
          <w:rFonts w:cstheme="minorHAnsi"/>
        </w:rPr>
        <w:br/>
        <w:t xml:space="preserve">Žádáme o upřesnění, zda jsou v položce zahrnuty objemy bouraných základových konstrukcí. </w:t>
      </w:r>
      <w:r w:rsidRPr="007F2EC7">
        <w:rPr>
          <w:rFonts w:cstheme="minorHAnsi"/>
        </w:rPr>
        <w:br/>
        <w:t>Z výpočtu výkazu výměr nelze ověřit. Pokud ne, žádáme o doplnění položky pro bourání železobetonových základových konstrukcí.</w:t>
      </w:r>
    </w:p>
    <w:p w14:paraId="2D915D1A" w14:textId="33CCB0D0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Domníváme se, že v soupisu prací chybí položka pro zpětný zásyp a požadavek na jeho únosnost. V technické zprávě je popsán zásyp s předrceného recyklátu z demolice.</w:t>
      </w:r>
    </w:p>
    <w:p w14:paraId="3CAD8896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Žádáme zadavatele o vysvětlení.</w:t>
      </w:r>
    </w:p>
    <w:p w14:paraId="61CFE375" w14:textId="77777777" w:rsidR="00A1284C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18839" w14:textId="016351E7" w:rsidR="00BD5319" w:rsidRPr="00E934D7" w:rsidRDefault="00BD5319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5788FBF3" w14:textId="6E6B1DCC" w:rsidR="00EF6A2B" w:rsidRPr="00E934D7" w:rsidRDefault="00BF3589" w:rsidP="00867652">
      <w:pPr>
        <w:spacing w:after="0" w:line="240" w:lineRule="auto"/>
        <w:jc w:val="both"/>
      </w:pPr>
      <w:r w:rsidRPr="00E934D7">
        <w:t>Položka č.2 je ve výkazu výměr popsána jako "obestavěný prostor". Tzn. objem objektu obsahuje obestavěný prostor základů, spodní stavby, vrchní stavby a střechy.</w:t>
      </w:r>
    </w:p>
    <w:p w14:paraId="30131ED3" w14:textId="5E1F605C" w:rsidR="00383F3E" w:rsidRPr="00E934D7" w:rsidRDefault="00383F3E" w:rsidP="00867652">
      <w:pPr>
        <w:spacing w:after="0" w:line="240" w:lineRule="auto"/>
        <w:jc w:val="both"/>
      </w:pPr>
    </w:p>
    <w:p w14:paraId="1B9AAE23" w14:textId="77777777" w:rsidR="006B717E" w:rsidRPr="00E934D7" w:rsidRDefault="006B717E" w:rsidP="006B717E">
      <w:pPr>
        <w:spacing w:after="0" w:line="240" w:lineRule="auto"/>
        <w:jc w:val="both"/>
      </w:pPr>
      <w:r w:rsidRPr="00E934D7">
        <w:t xml:space="preserve">Do soupisu prací byla doplněna položka pro zásyp č.6 a č.7 </w:t>
      </w:r>
    </w:p>
    <w:p w14:paraId="18173F1F" w14:textId="77777777" w:rsidR="006B717E" w:rsidRPr="00E934D7" w:rsidRDefault="006B717E" w:rsidP="006B717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t>Požadavek na únosnost zpětného zásypu se neuvádí z toho důvodu, že nová výpravní budova je založena hlubině na pilotách a konkrétní míru zhutnění nevyžaduje.</w:t>
      </w:r>
    </w:p>
    <w:p w14:paraId="04EAC0CC" w14:textId="77777777" w:rsidR="00383F3E" w:rsidRPr="00E934D7" w:rsidRDefault="00383F3E" w:rsidP="00867652">
      <w:pPr>
        <w:spacing w:after="0" w:line="240" w:lineRule="auto"/>
        <w:jc w:val="both"/>
      </w:pPr>
    </w:p>
    <w:bookmarkEnd w:id="2"/>
    <w:p w14:paraId="6F9C49B3" w14:textId="43BA1173" w:rsidR="00383F3E" w:rsidRPr="00E934D7" w:rsidRDefault="00383F3E" w:rsidP="00383F3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Přikládáme doplněný soupis prací SO 03-15-01, viz soubory „Soupis prací _Královo Pole_ZD č.11.xlsx“ a „Soupis prací _Královo Pole_ZD č.11.xml“.</w:t>
      </w:r>
    </w:p>
    <w:p w14:paraId="6C3962B4" w14:textId="77777777" w:rsidR="0091604E" w:rsidRPr="00E934D7" w:rsidRDefault="0091604E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C208BC" w14:textId="77777777" w:rsidR="00E934D7" w:rsidRDefault="00E934D7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740743D4" w:rsidR="0091604E" w:rsidRPr="00DF02D9" w:rsidRDefault="0091604E" w:rsidP="008676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67652">
        <w:rPr>
          <w:rFonts w:eastAsia="Calibri" w:cs="Times New Roman"/>
          <w:b/>
          <w:lang w:eastAsia="cs-CZ"/>
        </w:rPr>
        <w:t>249</w:t>
      </w:r>
      <w:r w:rsidRPr="00BD5319">
        <w:rPr>
          <w:rFonts w:eastAsia="Calibri" w:cs="Times New Roman"/>
          <w:b/>
          <w:lang w:eastAsia="cs-CZ"/>
        </w:rPr>
        <w:t>:</w:t>
      </w:r>
      <w:r w:rsidR="00DF02D9">
        <w:rPr>
          <w:rFonts w:eastAsia="Calibri" w:cs="Times New Roman"/>
          <w:b/>
          <w:lang w:eastAsia="cs-CZ"/>
        </w:rPr>
        <w:t xml:space="preserve"> </w:t>
      </w:r>
    </w:p>
    <w:p w14:paraId="6EF20C43" w14:textId="4999E924" w:rsidR="00867652" w:rsidRPr="007F2EC7" w:rsidRDefault="00867652" w:rsidP="00867652">
      <w:pPr>
        <w:spacing w:after="0"/>
        <w:rPr>
          <w:rFonts w:cstheme="minorHAnsi"/>
        </w:rPr>
      </w:pPr>
      <w:r w:rsidRPr="00867652">
        <w:rPr>
          <w:rFonts w:cstheme="minorHAnsi"/>
          <w:u w:val="single"/>
        </w:rPr>
        <w:t>SO 03-15-02.1 A 01</w:t>
      </w:r>
      <w:r w:rsidRPr="007F2EC7">
        <w:rPr>
          <w:rFonts w:cstheme="minorHAnsi"/>
        </w:rPr>
        <w:t xml:space="preserve"> </w:t>
      </w:r>
      <w:r w:rsidRPr="007F2EC7">
        <w:rPr>
          <w:rFonts w:cstheme="minorHAnsi"/>
        </w:rPr>
        <w:br/>
        <w:t>Domníváme se, s ohledem na postup výstavby, že v PD chybí mechanická ochrana vodorovné hydroizolace SO, z důvodu armování ŽB desky, kotvení sloupů aj.</w:t>
      </w:r>
    </w:p>
    <w:p w14:paraId="56CD69C3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Žádáme zadavatele o prověření.</w:t>
      </w:r>
    </w:p>
    <w:p w14:paraId="2E46D05F" w14:textId="5C90B11D" w:rsidR="007C0C39" w:rsidRDefault="007C0C39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5E78392" w14:textId="0DAF504F" w:rsidR="00E934D7" w:rsidRDefault="00E934D7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56C6DD" w14:textId="3B6F0CB2" w:rsidR="0091604E" w:rsidRPr="00BD5319" w:rsidRDefault="0091604E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0C17DD70" w14:textId="6EE2B474" w:rsidR="0091604E" w:rsidRPr="00E934D7" w:rsidRDefault="00747301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 xml:space="preserve">Zvláštní vrstva pro mechanickou ochranu hydroizolace není </w:t>
      </w:r>
      <w:r w:rsidR="00344DBE" w:rsidRPr="00E934D7">
        <w:rPr>
          <w:rFonts w:eastAsia="Calibri" w:cs="Times New Roman"/>
          <w:lang w:eastAsia="cs-CZ"/>
        </w:rPr>
        <w:t>vyžadována</w:t>
      </w:r>
      <w:r w:rsidR="00D8517B" w:rsidRPr="00E934D7">
        <w:rPr>
          <w:rFonts w:eastAsia="Calibri" w:cs="Times New Roman"/>
          <w:lang w:eastAsia="cs-CZ"/>
        </w:rPr>
        <w:t>.</w:t>
      </w:r>
      <w:r w:rsidR="00344DBE" w:rsidRPr="00E934D7">
        <w:rPr>
          <w:rFonts w:eastAsia="Calibri" w:cs="Times New Roman"/>
          <w:lang w:eastAsia="cs-CZ"/>
        </w:rPr>
        <w:t xml:space="preserve"> </w:t>
      </w:r>
      <w:r w:rsidR="00D8517B" w:rsidRPr="00E934D7">
        <w:rPr>
          <w:rFonts w:eastAsia="Calibri" w:cs="Times New Roman"/>
          <w:lang w:eastAsia="cs-CZ"/>
        </w:rPr>
        <w:t>M</w:t>
      </w:r>
      <w:r w:rsidR="00344DBE" w:rsidRPr="00E934D7">
        <w:rPr>
          <w:rFonts w:eastAsia="Calibri" w:cs="Times New Roman"/>
          <w:lang w:eastAsia="cs-CZ"/>
        </w:rPr>
        <w:t>usí být zvolen takový technologický postup, který zajistí nepoškození vodorovné hydroizolace během výstavby</w:t>
      </w:r>
      <w:r w:rsidRPr="00E934D7">
        <w:rPr>
          <w:rFonts w:eastAsia="Calibri" w:cs="Times New Roman"/>
          <w:lang w:eastAsia="cs-CZ"/>
        </w:rPr>
        <w:t xml:space="preserve">. </w:t>
      </w:r>
      <w:r w:rsidR="00344DBE" w:rsidRPr="00E934D7">
        <w:rPr>
          <w:rFonts w:eastAsia="Calibri" w:cs="Times New Roman"/>
          <w:lang w:eastAsia="cs-CZ"/>
        </w:rPr>
        <w:t xml:space="preserve">Pokud </w:t>
      </w:r>
      <w:r w:rsidR="00D8517B" w:rsidRPr="00E934D7">
        <w:rPr>
          <w:rFonts w:eastAsia="Calibri" w:cs="Times New Roman"/>
          <w:lang w:eastAsia="cs-CZ"/>
        </w:rPr>
        <w:t>Uchazeč</w:t>
      </w:r>
      <w:r w:rsidR="00344DBE" w:rsidRPr="00E934D7">
        <w:rPr>
          <w:rFonts w:eastAsia="Calibri" w:cs="Times New Roman"/>
          <w:lang w:eastAsia="cs-CZ"/>
        </w:rPr>
        <w:t xml:space="preserve"> není schopen tento technologický postup </w:t>
      </w:r>
      <w:r w:rsidR="001614F1" w:rsidRPr="00E934D7">
        <w:rPr>
          <w:rFonts w:eastAsia="Calibri" w:cs="Times New Roman"/>
          <w:lang w:eastAsia="cs-CZ"/>
        </w:rPr>
        <w:t xml:space="preserve">během stavebních prací </w:t>
      </w:r>
      <w:r w:rsidR="00344DBE" w:rsidRPr="00E934D7">
        <w:rPr>
          <w:rFonts w:eastAsia="Calibri" w:cs="Times New Roman"/>
          <w:lang w:eastAsia="cs-CZ"/>
        </w:rPr>
        <w:t>dodržet</w:t>
      </w:r>
      <w:r w:rsidR="00825A76">
        <w:rPr>
          <w:rFonts w:eastAsia="Calibri" w:cs="Times New Roman"/>
          <w:lang w:eastAsia="cs-CZ"/>
        </w:rPr>
        <w:t>,</w:t>
      </w:r>
      <w:r w:rsidR="00344DBE" w:rsidRPr="00E934D7">
        <w:rPr>
          <w:rFonts w:eastAsia="Calibri" w:cs="Times New Roman"/>
          <w:lang w:eastAsia="cs-CZ"/>
        </w:rPr>
        <w:t xml:space="preserve"> je </w:t>
      </w:r>
      <w:r w:rsidR="00D8517B" w:rsidRPr="00E934D7">
        <w:rPr>
          <w:rFonts w:eastAsia="Calibri" w:cs="Times New Roman"/>
          <w:lang w:eastAsia="cs-CZ"/>
        </w:rPr>
        <w:t>nutné</w:t>
      </w:r>
      <w:r w:rsidR="001614F1" w:rsidRPr="00E934D7">
        <w:rPr>
          <w:rFonts w:eastAsia="Calibri" w:cs="Times New Roman"/>
          <w:lang w:eastAsia="cs-CZ"/>
        </w:rPr>
        <w:t>,</w:t>
      </w:r>
      <w:r w:rsidR="00344DBE" w:rsidRPr="00E934D7">
        <w:rPr>
          <w:rFonts w:eastAsia="Calibri" w:cs="Times New Roman"/>
          <w:lang w:eastAsia="cs-CZ"/>
        </w:rPr>
        <w:t xml:space="preserve"> </w:t>
      </w:r>
      <w:r w:rsidR="001614F1" w:rsidRPr="00E934D7">
        <w:rPr>
          <w:rFonts w:eastAsia="Calibri" w:cs="Times New Roman"/>
          <w:lang w:eastAsia="cs-CZ"/>
        </w:rPr>
        <w:t xml:space="preserve">aby </w:t>
      </w:r>
      <w:r w:rsidR="00344DBE" w:rsidRPr="00E934D7">
        <w:rPr>
          <w:rFonts w:eastAsia="Calibri" w:cs="Times New Roman"/>
          <w:lang w:eastAsia="cs-CZ"/>
        </w:rPr>
        <w:t xml:space="preserve">s ochrannou vrstvou </w:t>
      </w:r>
      <w:r w:rsidR="001614F1" w:rsidRPr="00E934D7">
        <w:rPr>
          <w:rFonts w:eastAsia="Calibri" w:cs="Times New Roman"/>
          <w:lang w:eastAsia="cs-CZ"/>
        </w:rPr>
        <w:t xml:space="preserve">izolace </w:t>
      </w:r>
      <w:r w:rsidR="00D8517B" w:rsidRPr="00E934D7">
        <w:rPr>
          <w:rFonts w:eastAsia="Calibri" w:cs="Times New Roman"/>
          <w:lang w:eastAsia="cs-CZ"/>
        </w:rPr>
        <w:t>počíta</w:t>
      </w:r>
      <w:r w:rsidR="00825A76">
        <w:rPr>
          <w:rFonts w:eastAsia="Calibri" w:cs="Times New Roman"/>
          <w:lang w:eastAsia="cs-CZ"/>
        </w:rPr>
        <w:t>l</w:t>
      </w:r>
      <w:r w:rsidR="001614F1" w:rsidRPr="00E934D7">
        <w:rPr>
          <w:rFonts w:eastAsia="Calibri" w:cs="Times New Roman"/>
          <w:lang w:eastAsia="cs-CZ"/>
        </w:rPr>
        <w:t xml:space="preserve"> ve své nabídce</w:t>
      </w:r>
      <w:r w:rsidR="00D8517B" w:rsidRPr="00E934D7">
        <w:rPr>
          <w:rFonts w:eastAsia="Calibri" w:cs="Times New Roman"/>
          <w:lang w:eastAsia="cs-CZ"/>
        </w:rPr>
        <w:t xml:space="preserve">. V takovém případě Uchazeč ochrannou vrstvu </w:t>
      </w:r>
      <w:r w:rsidR="00825A76">
        <w:rPr>
          <w:rFonts w:eastAsia="Calibri" w:cs="Times New Roman"/>
          <w:lang w:eastAsia="cs-CZ"/>
        </w:rPr>
        <w:t>zohlední v</w:t>
      </w:r>
      <w:r w:rsidR="00825A76" w:rsidRPr="00E934D7">
        <w:rPr>
          <w:rFonts w:eastAsia="Calibri" w:cs="Times New Roman"/>
          <w:lang w:eastAsia="cs-CZ"/>
        </w:rPr>
        <w:t xml:space="preserve"> </w:t>
      </w:r>
      <w:r w:rsidR="00D8517B" w:rsidRPr="00E934D7">
        <w:rPr>
          <w:rFonts w:eastAsia="Calibri" w:cs="Times New Roman"/>
          <w:lang w:eastAsia="cs-CZ"/>
        </w:rPr>
        <w:t>ceně vlastní hydroizolace</w:t>
      </w:r>
      <w:r w:rsidR="001614F1" w:rsidRPr="00E934D7">
        <w:rPr>
          <w:rFonts w:eastAsia="Calibri" w:cs="Times New Roman"/>
          <w:lang w:eastAsia="cs-CZ"/>
        </w:rPr>
        <w:t xml:space="preserve"> – viz položky soupisu prací „Provedení izolace proti zemní vlhkosti“</w:t>
      </w:r>
      <w:r w:rsidR="00825A76">
        <w:rPr>
          <w:rFonts w:eastAsia="Calibri" w:cs="Times New Roman"/>
          <w:lang w:eastAsia="cs-CZ"/>
        </w:rPr>
        <w:t>.</w:t>
      </w:r>
    </w:p>
    <w:p w14:paraId="16851A4B" w14:textId="1AE6BAFB" w:rsidR="00D8517B" w:rsidRPr="00825A76" w:rsidRDefault="00D8517B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bookmarkEnd w:id="1"/>
    <w:p w14:paraId="0973503B" w14:textId="77777777" w:rsidR="00867652" w:rsidRPr="00825A76" w:rsidRDefault="00867652" w:rsidP="0086765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E16D96" w14:textId="397E67A1" w:rsidR="00A1284C" w:rsidRPr="00825A76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825A76">
        <w:rPr>
          <w:rFonts w:eastAsia="Calibri" w:cs="Times New Roman"/>
          <w:b/>
          <w:lang w:eastAsia="cs-CZ"/>
        </w:rPr>
        <w:t xml:space="preserve">Dotaz č. </w:t>
      </w:r>
      <w:r w:rsidR="00867652" w:rsidRPr="00825A76">
        <w:rPr>
          <w:rFonts w:eastAsia="Calibri" w:cs="Times New Roman"/>
          <w:b/>
          <w:lang w:eastAsia="cs-CZ"/>
        </w:rPr>
        <w:t>250</w:t>
      </w:r>
      <w:r w:rsidRPr="00825A76">
        <w:rPr>
          <w:rFonts w:eastAsia="Calibri" w:cs="Times New Roman"/>
          <w:b/>
          <w:lang w:eastAsia="cs-CZ"/>
        </w:rPr>
        <w:t>:</w:t>
      </w:r>
      <w:r w:rsidR="00DF02D9" w:rsidRPr="00825A76">
        <w:rPr>
          <w:rFonts w:eastAsia="Calibri" w:cs="Times New Roman"/>
          <w:b/>
          <w:lang w:eastAsia="cs-CZ"/>
        </w:rPr>
        <w:t xml:space="preserve"> </w:t>
      </w:r>
    </w:p>
    <w:p w14:paraId="50B2C846" w14:textId="77777777" w:rsidR="00867652" w:rsidRPr="00867652" w:rsidRDefault="00867652" w:rsidP="00867652">
      <w:pPr>
        <w:spacing w:after="0"/>
        <w:rPr>
          <w:rFonts w:cstheme="minorHAnsi"/>
          <w:u w:val="single"/>
        </w:rPr>
      </w:pPr>
      <w:r w:rsidRPr="00867652">
        <w:rPr>
          <w:rFonts w:cstheme="minorHAnsi"/>
          <w:u w:val="single"/>
        </w:rPr>
        <w:t>SO 03-15-02.1 A 01</w:t>
      </w:r>
    </w:p>
    <w:p w14:paraId="75BA07CF" w14:textId="77777777" w:rsidR="00867652" w:rsidRDefault="00867652" w:rsidP="00867652">
      <w:pPr>
        <w:spacing w:after="0"/>
        <w:rPr>
          <w:i/>
          <w:iCs/>
        </w:rPr>
      </w:pPr>
      <w:r w:rsidRPr="007F2EC7">
        <w:rPr>
          <w:rFonts w:cstheme="minorHAnsi"/>
        </w:rPr>
        <w:t xml:space="preserve">V technické zprávě je na str. 26 uvedeno:  </w:t>
      </w:r>
      <w:r>
        <w:rPr>
          <w:rFonts w:cstheme="minorHAnsi"/>
        </w:rPr>
        <w:br/>
      </w:r>
      <w:r>
        <w:t>„</w:t>
      </w:r>
      <w:r w:rsidRPr="007F2EC7">
        <w:rPr>
          <w:b/>
          <w:bCs/>
          <w:i/>
          <w:iCs/>
        </w:rPr>
        <w:t>ochrana před bludnými proudy</w:t>
      </w:r>
      <w:r w:rsidRPr="007F2EC7">
        <w:rPr>
          <w:i/>
          <w:iCs/>
        </w:rPr>
        <w:t xml:space="preserve"> </w:t>
      </w:r>
      <w:r w:rsidRPr="007F2EC7">
        <w:rPr>
          <w:i/>
          <w:iCs/>
        </w:rPr>
        <w:br/>
        <w:t>Ochrana před bludnými proudy – viz část PD profesí Silnoproud.“</w:t>
      </w:r>
    </w:p>
    <w:p w14:paraId="7CCA7CFE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 xml:space="preserve">Žádáme zadavatele o sdělení, v jakém SO je tato ochrana řešena. </w:t>
      </w:r>
      <w:r w:rsidRPr="007F2EC7">
        <w:rPr>
          <w:rFonts w:cstheme="minorHAnsi"/>
        </w:rPr>
        <w:br/>
        <w:t>Neměla by být ochrana ve stupni ochrany opatření č.4, jako například v sousedním SO 03-19-03.1?</w:t>
      </w:r>
    </w:p>
    <w:p w14:paraId="4C360682" w14:textId="77777777" w:rsidR="00A1284C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577FE052" w14:textId="6A182CCE" w:rsidR="00904FC4" w:rsidRPr="00E934D7" w:rsidRDefault="00904FC4" w:rsidP="00904F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 xml:space="preserve">Dle TP 124 bude </w:t>
      </w:r>
      <w:r w:rsidR="0059344F" w:rsidRPr="00E934D7">
        <w:rPr>
          <w:rFonts w:eastAsia="Calibri" w:cs="Times New Roman"/>
          <w:lang w:eastAsia="cs-CZ"/>
        </w:rPr>
        <w:t xml:space="preserve">ochrana před bludnými proudy </w:t>
      </w:r>
      <w:r w:rsidRPr="00E934D7">
        <w:rPr>
          <w:rFonts w:eastAsia="Calibri" w:cs="Times New Roman"/>
          <w:lang w:eastAsia="cs-CZ"/>
        </w:rPr>
        <w:t>řešen</w:t>
      </w:r>
      <w:r w:rsidR="0059344F" w:rsidRPr="00E934D7">
        <w:rPr>
          <w:rFonts w:eastAsia="Calibri" w:cs="Times New Roman"/>
          <w:lang w:eastAsia="cs-CZ"/>
        </w:rPr>
        <w:t>a</w:t>
      </w:r>
      <w:r w:rsidRPr="00E934D7">
        <w:rPr>
          <w:rFonts w:eastAsia="Calibri" w:cs="Times New Roman"/>
          <w:lang w:eastAsia="cs-CZ"/>
        </w:rPr>
        <w:t xml:space="preserve"> formou zvýšeného krytí konstrukcí ve styku se zeminou na 50mm a změněn typ distance na betonovou. </w:t>
      </w:r>
    </w:p>
    <w:p w14:paraId="2409DD61" w14:textId="0A76ABFC" w:rsidR="00895CDD" w:rsidRPr="00E934D7" w:rsidRDefault="0059344F" w:rsidP="0068566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V této souvislosti přikládáme opravené výkresy</w:t>
      </w:r>
      <w:r w:rsidR="00895CDD" w:rsidRPr="00E934D7">
        <w:rPr>
          <w:rFonts w:eastAsia="Calibri" w:cs="Times New Roman"/>
          <w:lang w:eastAsia="cs-CZ"/>
        </w:rPr>
        <w:t>:</w:t>
      </w:r>
    </w:p>
    <w:p w14:paraId="75F72CD4" w14:textId="5EBEBB46" w:rsidR="00A1284C" w:rsidRPr="00E934D7" w:rsidRDefault="00904FC4" w:rsidP="005934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A.2.2_103</w:t>
      </w:r>
      <w:r w:rsidR="0059344F" w:rsidRPr="00E934D7">
        <w:rPr>
          <w:rFonts w:eastAsia="Calibri" w:cs="Times New Roman"/>
          <w:lang w:eastAsia="cs-CZ"/>
        </w:rPr>
        <w:t xml:space="preserve"> – soubor „A.2.2_103_ZD č.11.pdf“</w:t>
      </w:r>
    </w:p>
    <w:p w14:paraId="1A2D5086" w14:textId="3121E780" w:rsidR="00895CDD" w:rsidRPr="00E934D7" w:rsidRDefault="00895CDD" w:rsidP="005934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 xml:space="preserve">A.2.2_105 </w:t>
      </w:r>
      <w:r w:rsidR="0059344F" w:rsidRPr="00E934D7">
        <w:rPr>
          <w:rFonts w:eastAsia="Calibri" w:cs="Times New Roman"/>
          <w:lang w:eastAsia="cs-CZ"/>
        </w:rPr>
        <w:t>– soubor „A.2.2_105_ZD č.11.pdf“</w:t>
      </w:r>
    </w:p>
    <w:p w14:paraId="4EC53A32" w14:textId="256D164C" w:rsidR="00895CDD" w:rsidRPr="00E934D7" w:rsidRDefault="00895CDD" w:rsidP="005934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A.2.2_108</w:t>
      </w:r>
      <w:r w:rsidR="0059344F" w:rsidRPr="00E934D7">
        <w:rPr>
          <w:rFonts w:eastAsia="Calibri" w:cs="Times New Roman"/>
          <w:lang w:eastAsia="cs-CZ"/>
        </w:rPr>
        <w:t xml:space="preserve"> – soubor „A.2.2_108_ZD č.11.pdf“</w:t>
      </w:r>
    </w:p>
    <w:p w14:paraId="51FBC72A" w14:textId="0721BB2D" w:rsidR="00895CDD" w:rsidRPr="00E934D7" w:rsidRDefault="00895CDD" w:rsidP="005934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A.2.2_111</w:t>
      </w:r>
      <w:r w:rsidR="0059344F" w:rsidRPr="00E934D7">
        <w:rPr>
          <w:rFonts w:eastAsia="Calibri" w:cs="Times New Roman"/>
          <w:lang w:eastAsia="cs-CZ"/>
        </w:rPr>
        <w:t xml:space="preserve"> – soubor „A.2.2_111_ZD č.11.pdf“</w:t>
      </w:r>
    </w:p>
    <w:p w14:paraId="0A477F95" w14:textId="339E188B" w:rsidR="00A1284C" w:rsidRPr="00E934D7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206476" w14:textId="77777777" w:rsidR="00E934D7" w:rsidRPr="00BD5319" w:rsidRDefault="00E934D7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44C95832" w:rsidR="00A1284C" w:rsidRPr="00BD5319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67652">
        <w:rPr>
          <w:rFonts w:eastAsia="Calibri" w:cs="Times New Roman"/>
          <w:b/>
          <w:lang w:eastAsia="cs-CZ"/>
        </w:rPr>
        <w:t>251</w:t>
      </w:r>
      <w:r w:rsidRPr="00BD5319">
        <w:rPr>
          <w:rFonts w:eastAsia="Calibri" w:cs="Times New Roman"/>
          <w:b/>
          <w:lang w:eastAsia="cs-CZ"/>
        </w:rPr>
        <w:t>:</w:t>
      </w:r>
      <w:r w:rsidR="00DF02D9" w:rsidRPr="00DF02D9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E6091E0" w14:textId="77777777" w:rsidR="00867652" w:rsidRPr="00867652" w:rsidRDefault="00867652" w:rsidP="00867652">
      <w:pPr>
        <w:spacing w:after="0"/>
        <w:rPr>
          <w:rFonts w:cstheme="minorHAnsi"/>
          <w:u w:val="single"/>
        </w:rPr>
      </w:pPr>
      <w:r w:rsidRPr="00867652">
        <w:rPr>
          <w:rFonts w:cstheme="minorHAnsi"/>
          <w:u w:val="single"/>
        </w:rPr>
        <w:t>SO 03-15-02.1 A 01</w:t>
      </w:r>
    </w:p>
    <w:p w14:paraId="29C8F60C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Domníváme se, že v soupisu prací nejsou obsaženy systémové průchodky bílou vanou pro instalaci uzemnění, dále pažnice HSI, pažnice pro multikanál, prostupy ZTI aj.</w:t>
      </w:r>
    </w:p>
    <w:p w14:paraId="1D9402A1" w14:textId="77777777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Žádáme zadavatele o prověření.</w:t>
      </w:r>
    </w:p>
    <w:p w14:paraId="468265D5" w14:textId="77777777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1CD0C546" w14:textId="09270DFB" w:rsidR="00A1284C" w:rsidRPr="00E934D7" w:rsidRDefault="002A1AD0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Prostupy bílou vanou jsou specifikovány ve výkresu tvaru základové desky „A.2.2_101_Zakladova_deska_T“. Do soupisu prací byly doplněny položky č.272-285.</w:t>
      </w:r>
    </w:p>
    <w:p w14:paraId="3A5010A1" w14:textId="4B750B4F" w:rsidR="003152CF" w:rsidRPr="00E934D7" w:rsidRDefault="003152CF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3FB23C" w14:textId="43914590" w:rsidR="003152CF" w:rsidRPr="00E934D7" w:rsidRDefault="003152CF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Přikládáme doplněný soupis prací SO 03-15-02.1 A 01, viz soubory „Soupis prací _Královo Pole_ZD č.11.xlsx“ a „Soupis prací _Královo Pole_ZD č.11.xml“.</w:t>
      </w:r>
    </w:p>
    <w:p w14:paraId="53F483B9" w14:textId="260F622B" w:rsidR="00526670" w:rsidRPr="00E934D7" w:rsidRDefault="00526670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35DDBE" w14:textId="77777777" w:rsidR="00DD3B8B" w:rsidRDefault="00DD3B8B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01CE6797" w:rsidR="00A1284C" w:rsidRPr="00BD5319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67652">
        <w:rPr>
          <w:rFonts w:eastAsia="Calibri" w:cs="Times New Roman"/>
          <w:b/>
          <w:lang w:eastAsia="cs-CZ"/>
        </w:rPr>
        <w:t>252</w:t>
      </w:r>
      <w:r w:rsidRPr="00BD5319">
        <w:rPr>
          <w:rFonts w:eastAsia="Calibri" w:cs="Times New Roman"/>
          <w:b/>
          <w:lang w:eastAsia="cs-CZ"/>
        </w:rPr>
        <w:t>:</w:t>
      </w:r>
      <w:r w:rsidR="00DF02D9">
        <w:rPr>
          <w:rFonts w:eastAsia="Calibri" w:cs="Times New Roman"/>
          <w:b/>
          <w:lang w:eastAsia="cs-CZ"/>
        </w:rPr>
        <w:t xml:space="preserve"> </w:t>
      </w:r>
    </w:p>
    <w:p w14:paraId="308A96A9" w14:textId="77777777" w:rsidR="00867652" w:rsidRPr="00867652" w:rsidRDefault="00867652" w:rsidP="00867652">
      <w:pPr>
        <w:spacing w:after="0"/>
        <w:rPr>
          <w:rFonts w:cstheme="minorHAnsi"/>
          <w:u w:val="single"/>
        </w:rPr>
      </w:pPr>
      <w:r w:rsidRPr="00867652">
        <w:rPr>
          <w:rFonts w:cstheme="minorHAnsi"/>
          <w:u w:val="single"/>
        </w:rPr>
        <w:t>SO 03-15-02.1 A 01</w:t>
      </w:r>
    </w:p>
    <w:p w14:paraId="4FC2AF0E" w14:textId="77777777" w:rsidR="00867652" w:rsidRPr="00E934D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 xml:space="preserve">Dle technické zprávy mají být betonové viditelné plochy v kvalitě pohledového betonu PB3. Domníváme se, že tento požadavek není promítnut do soupisu prací. Použité položky v soupisu </w:t>
      </w:r>
      <w:r w:rsidRPr="00E934D7">
        <w:rPr>
          <w:rFonts w:cstheme="minorHAnsi"/>
        </w:rPr>
        <w:t>prací jsou v kvalitě PB1.</w:t>
      </w:r>
    </w:p>
    <w:p w14:paraId="7AC287DF" w14:textId="77777777" w:rsidR="00867652" w:rsidRPr="00E934D7" w:rsidRDefault="00867652" w:rsidP="00867652">
      <w:pPr>
        <w:spacing w:after="0"/>
        <w:rPr>
          <w:rFonts w:cstheme="minorHAnsi"/>
        </w:rPr>
      </w:pPr>
      <w:r w:rsidRPr="00E934D7">
        <w:rPr>
          <w:rFonts w:cstheme="minorHAnsi"/>
        </w:rPr>
        <w:t>Žádáme zadavatele o prověření.</w:t>
      </w:r>
    </w:p>
    <w:p w14:paraId="60AD293B" w14:textId="77777777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04B75C38" w14:textId="6E932F91" w:rsidR="00A1284C" w:rsidRPr="00E934D7" w:rsidRDefault="006B6A02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Kvalita pohledového betonu PB3 se nevyžaduje. Soupis prací není třeba opravovat. Opravena TZ – vypuštěn požadavek na pohledový beton v kvalitě PB3.</w:t>
      </w:r>
    </w:p>
    <w:p w14:paraId="1F94C411" w14:textId="7CEDD374" w:rsidR="00805C52" w:rsidRPr="00E934D7" w:rsidRDefault="00805C52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Opravenou Technickou zprávu přikládáme – soubor „A.1_001_ZD č.11.pdf“.</w:t>
      </w:r>
    </w:p>
    <w:p w14:paraId="09599282" w14:textId="77777777" w:rsidR="00A1284C" w:rsidRDefault="00A1284C" w:rsidP="0086765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C56479D" w14:textId="77777777" w:rsidR="00A1284C" w:rsidRPr="00BD5319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062954" w14:textId="7F74D721" w:rsidR="00A1284C" w:rsidRPr="00BD5319" w:rsidRDefault="00A1284C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67652">
        <w:rPr>
          <w:rFonts w:eastAsia="Calibri" w:cs="Times New Roman"/>
          <w:b/>
          <w:lang w:eastAsia="cs-CZ"/>
        </w:rPr>
        <w:t>253</w:t>
      </w:r>
      <w:r w:rsidRPr="00BD5319">
        <w:rPr>
          <w:rFonts w:eastAsia="Calibri" w:cs="Times New Roman"/>
          <w:b/>
          <w:lang w:eastAsia="cs-CZ"/>
        </w:rPr>
        <w:t>:</w:t>
      </w:r>
      <w:r w:rsidR="00DF02D9" w:rsidRPr="00DF02D9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8B22681" w14:textId="77777777" w:rsidR="00867652" w:rsidRPr="00867652" w:rsidRDefault="00867652" w:rsidP="00867652">
      <w:pPr>
        <w:spacing w:after="0"/>
        <w:rPr>
          <w:rFonts w:cstheme="minorHAnsi"/>
          <w:u w:val="single"/>
        </w:rPr>
      </w:pPr>
      <w:r w:rsidRPr="00867652">
        <w:rPr>
          <w:rFonts w:cstheme="minorHAnsi"/>
          <w:u w:val="single"/>
        </w:rPr>
        <w:t>SO 03-15-02.1 A 01</w:t>
      </w:r>
    </w:p>
    <w:p w14:paraId="357BDFC8" w14:textId="61B31232" w:rsidR="00867652" w:rsidRPr="007F2EC7" w:rsidRDefault="00867652" w:rsidP="00867652">
      <w:pPr>
        <w:pStyle w:val="Normlnweb"/>
        <w:spacing w:after="0"/>
        <w:rPr>
          <w:rFonts w:cstheme="minorHAnsi"/>
        </w:rPr>
      </w:pPr>
      <w:r w:rsidRPr="007F2EC7">
        <w:rPr>
          <w:rFonts w:cstheme="minorHAnsi"/>
        </w:rPr>
        <w:t>Domníváme se, že v soupisu prací chybí desky z minerální akustické izolace s nakašírovanou černou textilií.</w:t>
      </w:r>
      <w:r w:rsidRPr="007F2EC7">
        <w:rPr>
          <w:rFonts w:cstheme="minorHAnsi"/>
        </w:rPr>
        <w:br/>
        <w:t>Žádáme zadavatele o prověření.</w:t>
      </w:r>
    </w:p>
    <w:p w14:paraId="78CB21F8" w14:textId="77777777" w:rsidR="007C0C39" w:rsidRDefault="007C0C39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1C0D21" w14:textId="77777777" w:rsidR="00E934D7" w:rsidRDefault="00E934D7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D74F77" w14:textId="1CBAE626" w:rsidR="00A1284C" w:rsidRPr="00E934D7" w:rsidRDefault="00A1284C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1B107029" w14:textId="0794AAB3" w:rsidR="00A1284C" w:rsidRPr="00E934D7" w:rsidRDefault="009C07D6" w:rsidP="009C07D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34D7">
        <w:rPr>
          <w:rFonts w:eastAsia="Times New Roman" w:cs="Times New Roman"/>
          <w:lang w:eastAsia="cs-CZ"/>
        </w:rPr>
        <w:t>Materiál izolace nad podhledem (ozn. C.1) je položka č. 16</w:t>
      </w:r>
      <w:r w:rsidR="00F05A53" w:rsidRPr="00E934D7">
        <w:rPr>
          <w:rFonts w:eastAsia="Times New Roman" w:cs="Times New Roman"/>
          <w:lang w:eastAsia="cs-CZ"/>
        </w:rPr>
        <w:t>6</w:t>
      </w:r>
      <w:r w:rsidRPr="00E934D7">
        <w:rPr>
          <w:rFonts w:eastAsia="Times New Roman" w:cs="Times New Roman"/>
          <w:lang w:eastAsia="cs-CZ"/>
        </w:rPr>
        <w:t xml:space="preserve"> v soupisu D.2.2.1_SO 03-15-02.1_A_01. Montáž je položka </w:t>
      </w:r>
      <w:r w:rsidR="00F0232C" w:rsidRPr="00E934D7">
        <w:rPr>
          <w:rFonts w:eastAsia="Times New Roman" w:cs="Times New Roman"/>
          <w:lang w:eastAsia="cs-CZ"/>
        </w:rPr>
        <w:t xml:space="preserve">č. </w:t>
      </w:r>
      <w:r w:rsidRPr="00E934D7">
        <w:rPr>
          <w:rFonts w:eastAsia="Times New Roman" w:cs="Times New Roman"/>
          <w:lang w:eastAsia="cs-CZ"/>
        </w:rPr>
        <w:t>168.</w:t>
      </w:r>
    </w:p>
    <w:p w14:paraId="245C01D0" w14:textId="2DCDE8F9" w:rsidR="00A1284C" w:rsidRDefault="00A1284C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F6F6602" w14:textId="77777777" w:rsidR="00867652" w:rsidRDefault="00867652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617268" w14:textId="651B2D25" w:rsidR="00867652" w:rsidRPr="00BD5319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254</w:t>
      </w:r>
      <w:r w:rsidRPr="00BD5319">
        <w:rPr>
          <w:rFonts w:eastAsia="Calibri" w:cs="Times New Roman"/>
          <w:b/>
          <w:lang w:eastAsia="cs-CZ"/>
        </w:rPr>
        <w:t>:</w:t>
      </w:r>
      <w:r w:rsidR="00DF02D9" w:rsidRPr="00DF02D9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7E50DCEB" w14:textId="77777777" w:rsidR="00867652" w:rsidRPr="00867652" w:rsidRDefault="00867652" w:rsidP="00867652">
      <w:pPr>
        <w:spacing w:after="0"/>
        <w:rPr>
          <w:rFonts w:cstheme="minorHAnsi"/>
          <w:u w:val="single"/>
        </w:rPr>
      </w:pPr>
      <w:r w:rsidRPr="00867652">
        <w:rPr>
          <w:rFonts w:cstheme="minorHAnsi"/>
          <w:u w:val="single"/>
        </w:rPr>
        <w:t>SO 03-15-02.1 A 02</w:t>
      </w:r>
    </w:p>
    <w:p w14:paraId="7F382D16" w14:textId="7FA9347D" w:rsidR="00867652" w:rsidRPr="007F2EC7" w:rsidRDefault="00867652" w:rsidP="00867652">
      <w:pPr>
        <w:spacing w:after="0"/>
        <w:rPr>
          <w:rFonts w:cstheme="minorHAnsi"/>
        </w:rPr>
      </w:pPr>
      <w:r w:rsidRPr="007F2EC7">
        <w:rPr>
          <w:rFonts w:cstheme="minorHAnsi"/>
        </w:rPr>
        <w:t>Automatické dveře do nádražní haly – jakým způsobem má být prováděn dohled a jejich ovládání v automatickém stavu? Jaké stavové signalizace a kam mají být zasílány? Mají být zapojeny do systému DDTS?</w:t>
      </w:r>
      <w:r w:rsidRPr="007F2EC7">
        <w:rPr>
          <w:rFonts w:cstheme="minorHAnsi"/>
        </w:rPr>
        <w:br/>
        <w:t>Žádáme zadavatele o vysvětlení.</w:t>
      </w:r>
    </w:p>
    <w:p w14:paraId="246ECE88" w14:textId="77777777" w:rsidR="00867652" w:rsidRPr="00E934D7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F60D93" w14:textId="77777777" w:rsidR="00867652" w:rsidRPr="00E934D7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4A9BE36D" w14:textId="6FA6FDC0" w:rsidR="00F3368D" w:rsidRPr="00E934D7" w:rsidRDefault="00B02ED8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Se zapojením automatických dveří do systému DDTS není uvažováno, stejně jako s d</w:t>
      </w:r>
      <w:r w:rsidR="00F3368D" w:rsidRPr="00E934D7">
        <w:rPr>
          <w:rFonts w:eastAsia="Calibri" w:cs="Times New Roman"/>
          <w:lang w:eastAsia="cs-CZ"/>
        </w:rPr>
        <w:t>álkov</w:t>
      </w:r>
      <w:r w:rsidRPr="00E934D7">
        <w:rPr>
          <w:rFonts w:eastAsia="Calibri" w:cs="Times New Roman"/>
          <w:lang w:eastAsia="cs-CZ"/>
        </w:rPr>
        <w:t>ým</w:t>
      </w:r>
      <w:r w:rsidR="00F3368D" w:rsidRPr="00E934D7">
        <w:rPr>
          <w:rFonts w:eastAsia="Calibri" w:cs="Times New Roman"/>
          <w:lang w:eastAsia="cs-CZ"/>
        </w:rPr>
        <w:t xml:space="preserve"> ovládání</w:t>
      </w:r>
      <w:r w:rsidRPr="00E934D7">
        <w:rPr>
          <w:rFonts w:eastAsia="Calibri" w:cs="Times New Roman"/>
          <w:lang w:eastAsia="cs-CZ"/>
        </w:rPr>
        <w:t>m</w:t>
      </w:r>
      <w:r w:rsidR="00F3368D" w:rsidRPr="00E934D7">
        <w:rPr>
          <w:rFonts w:eastAsia="Calibri" w:cs="Times New Roman"/>
          <w:lang w:eastAsia="cs-CZ"/>
        </w:rPr>
        <w:t xml:space="preserve"> těchto dveří (rozumí se zamykání).</w:t>
      </w:r>
      <w:r w:rsidRPr="00E934D7">
        <w:rPr>
          <w:rFonts w:eastAsia="Calibri" w:cs="Times New Roman"/>
          <w:lang w:eastAsia="cs-CZ"/>
        </w:rPr>
        <w:t xml:space="preserve"> Zamykání dveří obstará ostraha budovy, která zde bude trvale přítomna, tj. 24hod./7dní v týdnu.</w:t>
      </w:r>
    </w:p>
    <w:p w14:paraId="7F7395E4" w14:textId="7C4A6E98" w:rsidR="00867652" w:rsidRPr="00E934D7" w:rsidRDefault="00F3368D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V rámci profese sdělovací jsou ke dveřím dotaženy kabely, pokud by byla změněna koncepce dohledu nad budovou, tzn. pokud by ostraha v budově nebyla přítomna</w:t>
      </w:r>
      <w:r w:rsidR="00825A76">
        <w:rPr>
          <w:rFonts w:eastAsia="Calibri" w:cs="Times New Roman"/>
          <w:lang w:eastAsia="cs-CZ"/>
        </w:rPr>
        <w:t xml:space="preserve"> v režimu</w:t>
      </w:r>
      <w:r w:rsidR="00B02ED8" w:rsidRPr="00E934D7">
        <w:rPr>
          <w:rFonts w:eastAsia="Calibri" w:cs="Times New Roman"/>
          <w:lang w:eastAsia="cs-CZ"/>
        </w:rPr>
        <w:t xml:space="preserve"> 24/7</w:t>
      </w:r>
      <w:r w:rsidRPr="00E934D7">
        <w:rPr>
          <w:rFonts w:eastAsia="Calibri" w:cs="Times New Roman"/>
          <w:lang w:eastAsia="cs-CZ"/>
        </w:rPr>
        <w:t>.</w:t>
      </w:r>
    </w:p>
    <w:p w14:paraId="104A55B3" w14:textId="54309636" w:rsidR="00867652" w:rsidRDefault="00867652" w:rsidP="0086765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6FF6CAF" w14:textId="77777777" w:rsidR="00E934D7" w:rsidRDefault="00E934D7" w:rsidP="0086765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BF830C" w14:textId="7E094550" w:rsidR="00867652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255</w:t>
      </w:r>
      <w:r w:rsidRPr="00BD5319">
        <w:rPr>
          <w:rFonts w:eastAsia="Calibri" w:cs="Times New Roman"/>
          <w:b/>
          <w:lang w:eastAsia="cs-CZ"/>
        </w:rPr>
        <w:t>:</w:t>
      </w:r>
      <w:r w:rsidR="00DF02D9" w:rsidRPr="00DF02D9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721547A" w14:textId="21C61A1A" w:rsidR="00867652" w:rsidRPr="00867652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867652">
        <w:rPr>
          <w:rFonts w:cstheme="minorHAnsi"/>
          <w:u w:val="single"/>
        </w:rPr>
        <w:t>SO 03-15-02.1 A 02</w:t>
      </w:r>
      <w:r w:rsidRPr="00867652">
        <w:rPr>
          <w:rFonts w:cstheme="minorHAnsi"/>
          <w:u w:val="single"/>
        </w:rPr>
        <w:br/>
      </w:r>
      <w:r w:rsidRPr="00867652">
        <w:rPr>
          <w:rFonts w:cstheme="minorHAnsi"/>
        </w:rPr>
        <w:t>U dveří hliníkových AL 002- AL 005 se jedná o požární uzávěr otvoru, ve kterém má být osazena větrací mřížka. Certifikáty a atesty výrobců jsou vždy na celý požární otvor. Jakým způsobem má být doložena požární odolnost poloviny otvoru?</w:t>
      </w:r>
      <w:r w:rsidRPr="00867652">
        <w:rPr>
          <w:rFonts w:cstheme="minorHAnsi"/>
        </w:rPr>
        <w:br/>
        <w:t>Žádáme zadavatele o vysvětlení.</w:t>
      </w:r>
    </w:p>
    <w:p w14:paraId="70BAB14F" w14:textId="77777777" w:rsidR="00867652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1361E9" w14:textId="77777777" w:rsidR="00867652" w:rsidRPr="00E934D7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6DA01FE7" w14:textId="6F456004" w:rsidR="00867652" w:rsidRPr="00E934D7" w:rsidRDefault="00B76B7F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Požadavek na požární odolnost je pouze na polovinu otvoru - viz PBŘ. Tvoří požární pás ve fasádě. Polovina žaluzie je z vnitřní strany uzavřena plným panelem s požární odolností. Žaluzie je před panelem pouze z pohledových důvodů.</w:t>
      </w:r>
    </w:p>
    <w:p w14:paraId="32F4CF37" w14:textId="77777777" w:rsidR="00867652" w:rsidRDefault="00867652" w:rsidP="0086765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4BE32D7" w14:textId="77777777" w:rsidR="00867652" w:rsidRPr="00BD5319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B15558" w14:textId="09F08318" w:rsidR="00867652" w:rsidRPr="00BD5319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256</w:t>
      </w:r>
      <w:r w:rsidRPr="00BD5319">
        <w:rPr>
          <w:rFonts w:eastAsia="Calibri" w:cs="Times New Roman"/>
          <w:b/>
          <w:lang w:eastAsia="cs-CZ"/>
        </w:rPr>
        <w:t>:</w:t>
      </w:r>
      <w:r w:rsidR="00DF02D9" w:rsidRPr="00DF02D9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2CF3548A" w14:textId="77777777" w:rsidR="00867652" w:rsidRPr="00867652" w:rsidRDefault="00867652" w:rsidP="00867652">
      <w:pPr>
        <w:pStyle w:val="Normlnweb"/>
        <w:spacing w:after="0"/>
        <w:rPr>
          <w:rFonts w:cstheme="minorHAnsi"/>
          <w:b/>
          <w:bCs/>
          <w:szCs w:val="18"/>
          <w:u w:val="single"/>
        </w:rPr>
      </w:pPr>
      <w:r w:rsidRPr="00867652">
        <w:rPr>
          <w:rFonts w:cstheme="minorHAnsi"/>
          <w:szCs w:val="18"/>
          <w:u w:val="single"/>
        </w:rPr>
        <w:t>SO 03-15-02.1 A_01; SO 03-15-02.1 A_02, SO 03-15-02.1 C</w:t>
      </w:r>
    </w:p>
    <w:p w14:paraId="0DFF0AC7" w14:textId="77777777" w:rsidR="00867652" w:rsidRPr="00867652" w:rsidRDefault="00867652" w:rsidP="00867652">
      <w:pPr>
        <w:pStyle w:val="Normlnweb"/>
        <w:spacing w:after="0"/>
        <w:rPr>
          <w:i/>
          <w:iCs/>
          <w:szCs w:val="18"/>
        </w:rPr>
      </w:pPr>
      <w:r w:rsidRPr="00867652">
        <w:rPr>
          <w:rFonts w:cstheme="minorHAnsi"/>
          <w:szCs w:val="18"/>
        </w:rPr>
        <w:t>V technické zprávě je na str. 24 uvedeno:</w:t>
      </w:r>
      <w:r w:rsidRPr="00867652">
        <w:rPr>
          <w:rFonts w:cstheme="minorHAnsi"/>
          <w:szCs w:val="18"/>
        </w:rPr>
        <w:br/>
      </w:r>
      <w:r w:rsidRPr="00867652">
        <w:rPr>
          <w:rFonts w:cstheme="minorHAnsi"/>
          <w:i/>
          <w:iCs/>
          <w:szCs w:val="18"/>
        </w:rPr>
        <w:t>„</w:t>
      </w:r>
      <w:r w:rsidRPr="00867652">
        <w:rPr>
          <w:i/>
          <w:iCs/>
          <w:szCs w:val="18"/>
        </w:rPr>
        <w:t>Všechny vnitřní prvky budou v provedení antivandal a v souladu s požadavky směrnice SŽ PO-20/2019-GŘ Moderní design a architektura nádraží a zastávek ČR – Mobiliář ve znění změny č.1. Vybavení hygienického zázemí bude v souladu se směrnicí SŽ PO-22/2019-GŘ Moderní design a architektura nádraží a zastávek ČR - Standardy pro hygienická zařízení ve znění změny č. 2.“</w:t>
      </w:r>
    </w:p>
    <w:p w14:paraId="0C4D2334" w14:textId="77777777" w:rsidR="00867652" w:rsidRPr="00867652" w:rsidRDefault="00867652" w:rsidP="00867652">
      <w:pPr>
        <w:pStyle w:val="Normlnweb"/>
        <w:spacing w:after="0"/>
        <w:rPr>
          <w:szCs w:val="18"/>
        </w:rPr>
      </w:pPr>
      <w:r w:rsidRPr="00867652">
        <w:rPr>
          <w:szCs w:val="18"/>
        </w:rPr>
        <w:t>Domníváme se, že navržené vybavení hygienického zázemí a soupisu prací nekoresponduje s touto směrnicí (dávkovače mýdla, baterie, umyvadla, klozety, pisoáry aj..).</w:t>
      </w:r>
    </w:p>
    <w:p w14:paraId="064C2A22" w14:textId="77777777" w:rsidR="00867652" w:rsidRPr="00867652" w:rsidRDefault="00867652" w:rsidP="00867652">
      <w:pPr>
        <w:pStyle w:val="Normlnweb"/>
        <w:spacing w:after="0"/>
        <w:rPr>
          <w:rFonts w:cstheme="minorHAnsi"/>
          <w:szCs w:val="18"/>
        </w:rPr>
      </w:pPr>
      <w:r w:rsidRPr="00867652">
        <w:rPr>
          <w:rFonts w:cstheme="minorHAnsi"/>
          <w:szCs w:val="18"/>
        </w:rPr>
        <w:t>Žádáme zadavatele o prověření.</w:t>
      </w:r>
    </w:p>
    <w:p w14:paraId="2C10408F" w14:textId="77777777" w:rsidR="00867652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6897FDA" w14:textId="77777777" w:rsidR="00867652" w:rsidRPr="00E934D7" w:rsidRDefault="00867652" w:rsidP="008676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63FA6FC3" w14:textId="3D8694C4" w:rsidR="00867652" w:rsidRPr="00E934D7" w:rsidRDefault="00016B39" w:rsidP="008676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 xml:space="preserve">Vybavení hygienických zázemí </w:t>
      </w:r>
      <w:r w:rsidR="00280273">
        <w:rPr>
          <w:rFonts w:eastAsia="Calibri" w:cs="Times New Roman"/>
          <w:lang w:eastAsia="cs-CZ"/>
        </w:rPr>
        <w:t xml:space="preserve">je </w:t>
      </w:r>
      <w:r w:rsidR="00C36586">
        <w:rPr>
          <w:rFonts w:eastAsia="Calibri" w:cs="Times New Roman"/>
          <w:lang w:eastAsia="cs-CZ"/>
        </w:rPr>
        <w:t xml:space="preserve">dle soudu Zadavatele </w:t>
      </w:r>
      <w:r w:rsidRPr="00E934D7">
        <w:rPr>
          <w:rFonts w:eastAsia="Calibri" w:cs="Times New Roman"/>
          <w:lang w:eastAsia="cs-CZ"/>
        </w:rPr>
        <w:t>navrženo dle výše uvedené směrnice (SŽ PO-22/2019-GŘ, „kategorie C s dohledem“ – str. 16 až 19 + příloha A – str. 28).</w:t>
      </w:r>
      <w:r w:rsidR="00C36586">
        <w:rPr>
          <w:rFonts w:eastAsia="Calibri" w:cs="Times New Roman"/>
          <w:lang w:eastAsia="cs-CZ"/>
        </w:rPr>
        <w:t xml:space="preserve"> Pokud se uchazeč domnívá, že tomu tak není, nechť věc upřesní.</w:t>
      </w:r>
    </w:p>
    <w:p w14:paraId="199E7411" w14:textId="77777777" w:rsidR="00867652" w:rsidRDefault="00867652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ED77D0D" w14:textId="77777777" w:rsidR="00867652" w:rsidRDefault="00867652" w:rsidP="008676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0DAB191" w14:textId="1282DB76" w:rsidR="00FE31CA" w:rsidRPr="00C36586" w:rsidRDefault="00FE31CA" w:rsidP="00FE31CA">
      <w:pPr>
        <w:spacing w:after="0" w:line="240" w:lineRule="auto"/>
        <w:rPr>
          <w:rFonts w:eastAsia="Calibri" w:cs="Times New Roman"/>
          <w:b/>
          <w:lang w:eastAsia="cs-CZ"/>
        </w:rPr>
      </w:pPr>
      <w:r w:rsidRPr="00FE31CA">
        <w:rPr>
          <w:rFonts w:eastAsia="Calibri" w:cs="Times New Roman"/>
          <w:b/>
          <w:lang w:eastAsia="cs-CZ"/>
        </w:rPr>
        <w:t xml:space="preserve">Dotaz č. </w:t>
      </w:r>
      <w:bookmarkStart w:id="3" w:name="_GoBack"/>
      <w:r w:rsidRPr="00C36586">
        <w:rPr>
          <w:rFonts w:eastAsia="Calibri" w:cs="Times New Roman"/>
          <w:b/>
          <w:lang w:eastAsia="cs-CZ"/>
        </w:rPr>
        <w:t xml:space="preserve">257: </w:t>
      </w:r>
    </w:p>
    <w:p w14:paraId="40DAFB24" w14:textId="77777777" w:rsidR="00FE31CA" w:rsidRDefault="00FE31CA" w:rsidP="00FE31CA">
      <w:pPr>
        <w:spacing w:after="0" w:line="259" w:lineRule="auto"/>
      </w:pPr>
      <w:r w:rsidRPr="00C36586">
        <w:t>Zadavatel v rámci odpovědi na dotaz č. 117 doplnil do soupisu prací popis k pol. č. 66 a 67 (v PS 03-28-01B), kde se u pol. č</w:t>
      </w:r>
      <w:bookmarkEnd w:id="3"/>
      <w:r>
        <w:t>. 66 uvádí „</w:t>
      </w:r>
      <w:r w:rsidRPr="00606999">
        <w:t>dodání (formou pronájmu) kontejneru s řídícím počítačem</w:t>
      </w:r>
      <w:r>
        <w:t xml:space="preserve">…“. </w:t>
      </w:r>
    </w:p>
    <w:p w14:paraId="2BE16A66" w14:textId="77777777" w:rsidR="00FE31CA" w:rsidRPr="00E934D7" w:rsidRDefault="00FE31CA" w:rsidP="00FE31CA">
      <w:r w:rsidRPr="00E934D7">
        <w:t>Domníváme se, že se jedná o písařskou chybu a že řídící počítač k provizorní DK nepatří. Žádáme zadavatele o prověření a úpravu popisu u pol. č. 66.</w:t>
      </w:r>
    </w:p>
    <w:p w14:paraId="01BB8820" w14:textId="77777777" w:rsidR="00FE31CA" w:rsidRPr="00E934D7" w:rsidRDefault="00FE31CA" w:rsidP="00FE31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34D7">
        <w:rPr>
          <w:rFonts w:eastAsia="Calibri" w:cs="Times New Roman"/>
          <w:b/>
          <w:lang w:eastAsia="cs-CZ"/>
        </w:rPr>
        <w:t xml:space="preserve">Odpověď: </w:t>
      </w:r>
    </w:p>
    <w:p w14:paraId="16DE7006" w14:textId="00E4CC57" w:rsidR="002E49D4" w:rsidRPr="00E934D7" w:rsidRDefault="002E49D4" w:rsidP="002E49D4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E934D7">
        <w:rPr>
          <w:rFonts w:eastAsia="Calibri" w:cs="Times New Roman"/>
          <w:i/>
          <w:lang w:eastAsia="cs-CZ"/>
        </w:rPr>
        <w:t xml:space="preserve">Byla </w:t>
      </w:r>
      <w:r w:rsidR="00CB0EEC" w:rsidRPr="00E934D7">
        <w:rPr>
          <w:rFonts w:eastAsia="Calibri" w:cs="Times New Roman"/>
          <w:i/>
          <w:lang w:eastAsia="cs-CZ"/>
        </w:rPr>
        <w:t xml:space="preserve">provedena </w:t>
      </w:r>
      <w:r w:rsidRPr="00E934D7">
        <w:rPr>
          <w:rFonts w:eastAsia="Calibri" w:cs="Times New Roman"/>
          <w:i/>
          <w:lang w:eastAsia="cs-CZ"/>
        </w:rPr>
        <w:t>oprava v technick</w:t>
      </w:r>
      <w:r w:rsidR="00CB0EEC" w:rsidRPr="00E934D7">
        <w:rPr>
          <w:rFonts w:eastAsia="Calibri" w:cs="Times New Roman"/>
          <w:i/>
          <w:lang w:eastAsia="cs-CZ"/>
        </w:rPr>
        <w:t>é</w:t>
      </w:r>
      <w:r w:rsidRPr="00E934D7">
        <w:rPr>
          <w:rFonts w:eastAsia="Calibri" w:cs="Times New Roman"/>
          <w:i/>
          <w:lang w:eastAsia="cs-CZ"/>
        </w:rPr>
        <w:t xml:space="preserve"> specifikac</w:t>
      </w:r>
      <w:r w:rsidR="00CB0EEC" w:rsidRPr="00E934D7">
        <w:rPr>
          <w:rFonts w:eastAsia="Calibri" w:cs="Times New Roman"/>
          <w:i/>
          <w:lang w:eastAsia="cs-CZ"/>
        </w:rPr>
        <w:t>i</w:t>
      </w:r>
      <w:r w:rsidRPr="00E934D7">
        <w:rPr>
          <w:rFonts w:eastAsia="Calibri" w:cs="Times New Roman"/>
          <w:i/>
          <w:lang w:eastAsia="cs-CZ"/>
        </w:rPr>
        <w:t xml:space="preserve"> položky č.66 na „pracovištěm JOP“.</w:t>
      </w:r>
    </w:p>
    <w:p w14:paraId="6CE87704" w14:textId="0512B02F" w:rsidR="00867652" w:rsidRPr="00E934D7" w:rsidRDefault="002E49D4" w:rsidP="002E49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ascii="Arial" w:eastAsia="Times New Roman" w:hAnsi="Arial" w:cs="Arial"/>
          <w:i/>
          <w:sz w:val="20"/>
          <w:szCs w:val="20"/>
          <w:lang w:eastAsia="cs-CZ"/>
        </w:rPr>
        <w:t>Položka č. 67 je beze změny.</w:t>
      </w:r>
    </w:p>
    <w:p w14:paraId="2D2AC419" w14:textId="77777777" w:rsidR="00867652" w:rsidRPr="00E934D7" w:rsidRDefault="00867652" w:rsidP="0086765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897B47" w14:textId="57EFF440" w:rsidR="00CB0EEC" w:rsidRPr="00E934D7" w:rsidRDefault="00CB0EEC" w:rsidP="00CB0E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34D7">
        <w:rPr>
          <w:rFonts w:eastAsia="Calibri" w:cs="Times New Roman"/>
          <w:lang w:eastAsia="cs-CZ"/>
        </w:rPr>
        <w:t>Přikládáme opravený soupis prací PS 03-28-01B, viz soubory „Soupis prací _Královo Pole_ZD č.11.xlsx“ a „Soupis prací _Královo Pole_ZD č.11.xml“.</w:t>
      </w:r>
    </w:p>
    <w:p w14:paraId="5CB1BF6F" w14:textId="5DD79354" w:rsidR="00867652" w:rsidRDefault="00867652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3BEC43" w14:textId="149C3638" w:rsidR="00CB0EEC" w:rsidRDefault="00CB0EEC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8DD31E" w14:textId="77777777" w:rsidR="009F7D3F" w:rsidRDefault="009F7D3F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8C122" w14:textId="564F1963" w:rsidR="00CB0EEC" w:rsidRDefault="006B717E" w:rsidP="0086765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Doplnění z</w:t>
      </w:r>
      <w:r w:rsidR="00B159F1">
        <w:rPr>
          <w:rFonts w:eastAsia="Calibri" w:cs="Times New Roman"/>
          <w:b/>
          <w:lang w:eastAsia="cs-CZ"/>
        </w:rPr>
        <w:t>e strany zadavatele:</w:t>
      </w:r>
    </w:p>
    <w:p w14:paraId="24AC3319" w14:textId="4F161E89" w:rsidR="006B717E" w:rsidRPr="009F7D3F" w:rsidRDefault="006B717E" w:rsidP="00280273">
      <w:pPr>
        <w:spacing w:after="0" w:line="240" w:lineRule="auto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 xml:space="preserve">V rámci dodatku k zadávací dokumentaci </w:t>
      </w:r>
      <w:r w:rsidR="00B159F1" w:rsidRPr="009F7D3F">
        <w:rPr>
          <w:rFonts w:eastAsia="Calibri" w:cs="Times New Roman"/>
          <w:lang w:eastAsia="cs-CZ"/>
        </w:rPr>
        <w:t xml:space="preserve">ZD </w:t>
      </w:r>
      <w:r w:rsidRPr="009F7D3F">
        <w:rPr>
          <w:rFonts w:eastAsia="Calibri" w:cs="Times New Roman"/>
          <w:lang w:eastAsia="cs-CZ"/>
        </w:rPr>
        <w:t>č.9 bylo zjištěno, že se administrativním nedopatřením opomněl opravit SO 90-90 v ASPE, tj. v souboru xml a xlsx. Chyba byla napravena a SO 90-90 je již v ASPE opraven</w:t>
      </w:r>
      <w:r w:rsidR="00B159F1" w:rsidRPr="009F7D3F">
        <w:rPr>
          <w:rFonts w:eastAsia="Calibri" w:cs="Times New Roman"/>
          <w:lang w:eastAsia="cs-CZ"/>
        </w:rPr>
        <w:t xml:space="preserve"> v souladu s dotazy Uchazečů.</w:t>
      </w:r>
    </w:p>
    <w:p w14:paraId="6783F633" w14:textId="151D8E47" w:rsidR="00CB0EEC" w:rsidRPr="009F7D3F" w:rsidRDefault="00CB0EEC" w:rsidP="008676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CB5CBD" w14:textId="26D66521" w:rsidR="006B717E" w:rsidRPr="009F7D3F" w:rsidRDefault="006B717E" w:rsidP="00280273">
      <w:pPr>
        <w:spacing w:after="0" w:line="240" w:lineRule="auto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Přikládáme opravený soupis prací u SO 90-90, viz soubory „Soupis prací _Královo Pole_ZD č.11.xlsx“ a „Soupis prací _Královo Pole_ZD č.11.xml“.</w:t>
      </w:r>
    </w:p>
    <w:p w14:paraId="29E7E780" w14:textId="77777777" w:rsidR="00CB0EEC" w:rsidRPr="00BD5319" w:rsidRDefault="00CB0EEC" w:rsidP="0028027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1ECCB9" w14:textId="77777777" w:rsidR="00A1284C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0275A5" w14:textId="71917B44" w:rsidR="009F7D3F" w:rsidRPr="009748C5" w:rsidRDefault="009F7D3F" w:rsidP="009F7D3F">
      <w:pPr>
        <w:spacing w:after="0" w:line="240" w:lineRule="auto"/>
        <w:rPr>
          <w:rFonts w:eastAsia="Times New Roman" w:cs="Times New Roman"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748C5">
        <w:rPr>
          <w:rFonts w:eastAsia="Times New Roman" w:cs="Times New Roman"/>
          <w:b/>
          <w:lang w:eastAsia="cs-CZ"/>
        </w:rPr>
        <w:t>změny/doplnění zadávací dokumentace</w:t>
      </w:r>
      <w:r w:rsidRPr="009748C5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2</w:t>
      </w:r>
      <w:r w:rsidRPr="009748C5">
        <w:rPr>
          <w:rFonts w:eastAsia="Times New Roman" w:cs="Times New Roman"/>
          <w:b/>
          <w:lang w:eastAsia="cs-CZ"/>
        </w:rPr>
        <w:t>. 7. 2023</w:t>
      </w:r>
      <w:r w:rsidRPr="009748C5">
        <w:rPr>
          <w:rFonts w:eastAsia="Times New Roman" w:cs="Times New Roman"/>
          <w:lang w:eastAsia="cs-CZ"/>
        </w:rPr>
        <w:t xml:space="preserve"> na den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3</w:t>
      </w:r>
      <w:r w:rsidRPr="009748C5">
        <w:rPr>
          <w:rFonts w:eastAsia="Times New Roman" w:cs="Times New Roman"/>
          <w:b/>
          <w:lang w:eastAsia="cs-CZ"/>
        </w:rPr>
        <w:t>. 7. 2023</w:t>
      </w:r>
      <w:r w:rsidRPr="009748C5">
        <w:rPr>
          <w:rFonts w:eastAsia="Times New Roman" w:cs="Times New Roman"/>
          <w:lang w:eastAsia="cs-CZ"/>
        </w:rPr>
        <w:t>.</w:t>
      </w:r>
    </w:p>
    <w:p w14:paraId="0467FDB5" w14:textId="77777777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7CB62A" w14:textId="77777777" w:rsidR="009F7D3F" w:rsidRPr="009748C5" w:rsidRDefault="009F7D3F" w:rsidP="00280273">
      <w:pPr>
        <w:spacing w:after="0" w:line="240" w:lineRule="auto"/>
        <w:rPr>
          <w:rFonts w:eastAsia="Times New Roman" w:cs="Times New Roman"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Pr="00447F72">
            <w:rPr>
              <w:rFonts w:eastAsia="Calibri"/>
              <w:color w:val="0000FF"/>
            </w:rPr>
            <w:t>https://vvz.nipez.cz</w:t>
          </w:r>
        </w:hyperlink>
      </w:hyperlink>
      <w:r w:rsidRPr="009748C5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14:paraId="5F651F94" w14:textId="77777777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79650E" w14:textId="77777777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b/>
          <w:lang w:eastAsia="cs-CZ"/>
        </w:rPr>
        <w:t xml:space="preserve">Oddíl IV. 2.2): </w:t>
      </w:r>
    </w:p>
    <w:p w14:paraId="5D26A054" w14:textId="39BF304F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3</w:t>
      </w:r>
      <w:r w:rsidRPr="009748C5">
        <w:rPr>
          <w:rFonts w:eastAsia="Times New Roman" w:cs="Times New Roman"/>
          <w:b/>
          <w:lang w:eastAsia="cs-CZ"/>
        </w:rPr>
        <w:t>. 7. 2023 v 10:00 hod.</w:t>
      </w:r>
      <w:r w:rsidRPr="009748C5">
        <w:rPr>
          <w:rFonts w:eastAsia="Times New Roman" w:cs="Times New Roman"/>
          <w:lang w:eastAsia="cs-CZ"/>
        </w:rPr>
        <w:t>,</w:t>
      </w:r>
      <w:r w:rsidRPr="009748C5">
        <w:rPr>
          <w:rFonts w:eastAsia="Times New Roman" w:cs="Times New Roman"/>
          <w:b/>
          <w:lang w:eastAsia="cs-CZ"/>
        </w:rPr>
        <w:t xml:space="preserve"> </w:t>
      </w:r>
    </w:p>
    <w:p w14:paraId="2DE192FB" w14:textId="77777777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b/>
          <w:lang w:eastAsia="cs-CZ"/>
        </w:rPr>
        <w:t xml:space="preserve">Oddíl IV. 2.7): </w:t>
      </w:r>
    </w:p>
    <w:p w14:paraId="41D06034" w14:textId="67F1C065" w:rsidR="009F7D3F" w:rsidRPr="009748C5" w:rsidRDefault="009F7D3F" w:rsidP="009F7D3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3</w:t>
      </w:r>
      <w:r w:rsidRPr="009748C5">
        <w:rPr>
          <w:rFonts w:eastAsia="Times New Roman" w:cs="Times New Roman"/>
          <w:b/>
          <w:lang w:eastAsia="cs-CZ"/>
        </w:rPr>
        <w:t>. 7. 2023 v 10:00 hod.</w:t>
      </w:r>
    </w:p>
    <w:p w14:paraId="72078D7E" w14:textId="77777777" w:rsidR="009F7D3F" w:rsidRPr="009748C5" w:rsidRDefault="009F7D3F" w:rsidP="009F7D3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748C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 w:rsidRPr="00447F72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447F72">
        <w:rPr>
          <w:rFonts w:eastAsia="Calibri" w:cs="Times New Roman"/>
          <w:color w:val="0000FF"/>
          <w:u w:val="single"/>
          <w:lang w:eastAsia="cs-CZ"/>
        </w:rPr>
        <w:t>.</w:t>
      </w:r>
    </w:p>
    <w:p w14:paraId="7F6D37FA" w14:textId="77777777" w:rsidR="009F7D3F" w:rsidRDefault="009F7D3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87C094" w14:textId="77777777" w:rsidR="009F7D3F" w:rsidRDefault="009F7D3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1C0972D9" w:rsidR="006526D3" w:rsidRPr="009F7D3F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F7D3F">
        <w:rPr>
          <w:rFonts w:eastAsia="Calibri" w:cs="Times New Roman"/>
          <w:b/>
          <w:bCs/>
          <w:lang w:eastAsia="cs-CZ"/>
        </w:rPr>
        <w:t xml:space="preserve">Příloha: </w:t>
      </w:r>
    </w:p>
    <w:p w14:paraId="5C7766EB" w14:textId="6595C604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č.11.xml“</w:t>
      </w:r>
    </w:p>
    <w:p w14:paraId="6BB421FB" w14:textId="5E2B9F42" w:rsidR="00C920AE" w:rsidRPr="009F7D3F" w:rsidRDefault="00C920AE" w:rsidP="00C920A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F7D3F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č.11.xlsx“</w:t>
      </w:r>
    </w:p>
    <w:p w14:paraId="52692175" w14:textId="77777777" w:rsidR="00BD5319" w:rsidRPr="009F7D3F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39AC95" w14:textId="2DB55335" w:rsidR="00C920AE" w:rsidRPr="009F7D3F" w:rsidRDefault="00C920A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Opravované přílohy:</w:t>
      </w:r>
    </w:p>
    <w:p w14:paraId="38AD0040" w14:textId="34E7E781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A.</w:t>
      </w:r>
      <w:r w:rsidR="001E2C6B" w:rsidRPr="009F7D3F">
        <w:rPr>
          <w:rFonts w:eastAsia="Calibri" w:cs="Times New Roman"/>
          <w:lang w:eastAsia="cs-CZ"/>
        </w:rPr>
        <w:t>1</w:t>
      </w:r>
      <w:r w:rsidRPr="009F7D3F">
        <w:rPr>
          <w:rFonts w:eastAsia="Calibri" w:cs="Times New Roman"/>
          <w:lang w:eastAsia="cs-CZ"/>
        </w:rPr>
        <w:t>_00</w:t>
      </w:r>
      <w:r w:rsidR="00503734" w:rsidRPr="009F7D3F">
        <w:rPr>
          <w:rFonts w:eastAsia="Calibri" w:cs="Times New Roman"/>
          <w:lang w:eastAsia="cs-CZ"/>
        </w:rPr>
        <w:t>1</w:t>
      </w:r>
      <w:r w:rsidRPr="009F7D3F">
        <w:rPr>
          <w:rFonts w:eastAsia="Calibri" w:cs="Times New Roman"/>
          <w:lang w:eastAsia="cs-CZ"/>
        </w:rPr>
        <w:t>_ZD č.11.pdf</w:t>
      </w:r>
    </w:p>
    <w:p w14:paraId="3DCE32E1" w14:textId="45A3D19B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A.2.2_103_ZD č.11.pdf</w:t>
      </w:r>
    </w:p>
    <w:p w14:paraId="2A82C458" w14:textId="77777777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A.2.2_105_ZD č.11.pdf</w:t>
      </w:r>
    </w:p>
    <w:p w14:paraId="75B33F4E" w14:textId="77777777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A.2.2_108_ZD č.11.pdf</w:t>
      </w:r>
    </w:p>
    <w:p w14:paraId="2045E9A1" w14:textId="78907D48" w:rsidR="00C920AE" w:rsidRPr="009F7D3F" w:rsidRDefault="00C920AE" w:rsidP="00C920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7D3F">
        <w:rPr>
          <w:rFonts w:eastAsia="Calibri" w:cs="Times New Roman"/>
          <w:lang w:eastAsia="cs-CZ"/>
        </w:rPr>
        <w:t>A.2.2_111_ZD č.11.pdf</w:t>
      </w:r>
    </w:p>
    <w:p w14:paraId="5085ED15" w14:textId="3CE525A8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377D6EF1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15D543" w14:textId="7AA350A4" w:rsidR="009F7D3F" w:rsidRDefault="009F7D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99398" w14:textId="15801D57" w:rsidR="009F7D3F" w:rsidRDefault="009F7D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F25464" w14:textId="619C6C99" w:rsidR="009F7D3F" w:rsidRDefault="009F7D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FF158E" w14:textId="7CEAB89B" w:rsidR="009F7D3F" w:rsidRDefault="009F7D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750509" w14:textId="77777777" w:rsidR="009F7D3F" w:rsidRDefault="009F7D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A8AFE3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708708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2AF92981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3BA0D69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03A13CEE" w14:textId="77777777" w:rsidR="00FE716B" w:rsidRPr="00BD5319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56513505" w14:textId="39B3370A" w:rsidR="00BD5319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A0F38" w14:textId="77777777" w:rsidR="001D4269" w:rsidRDefault="001D4269" w:rsidP="00962258">
      <w:pPr>
        <w:spacing w:after="0" w:line="240" w:lineRule="auto"/>
      </w:pPr>
      <w:r>
        <w:separator/>
      </w:r>
    </w:p>
  </w:endnote>
  <w:endnote w:type="continuationSeparator" w:id="0">
    <w:p w14:paraId="3AC33D67" w14:textId="77777777" w:rsidR="001D4269" w:rsidRDefault="001D42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419C800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76F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76F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7ECC784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42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42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626CA" w14:textId="77777777" w:rsidR="001D4269" w:rsidRDefault="001D4269" w:rsidP="00962258">
      <w:pPr>
        <w:spacing w:after="0" w:line="240" w:lineRule="auto"/>
      </w:pPr>
      <w:r>
        <w:separator/>
      </w:r>
    </w:p>
  </w:footnote>
  <w:footnote w:type="continuationSeparator" w:id="0">
    <w:p w14:paraId="3B0E63FB" w14:textId="77777777" w:rsidR="001D4269" w:rsidRDefault="001D42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503DF"/>
    <w:multiLevelType w:val="hybridMultilevel"/>
    <w:tmpl w:val="D7AA5106"/>
    <w:lvl w:ilvl="0" w:tplc="CD888ADE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EEB518C"/>
    <w:multiLevelType w:val="hybridMultilevel"/>
    <w:tmpl w:val="B3787ABC"/>
    <w:lvl w:ilvl="0" w:tplc="FC887F44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175A"/>
    <w:rsid w:val="00016B39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614F1"/>
    <w:rsid w:val="00170EC5"/>
    <w:rsid w:val="001747C1"/>
    <w:rsid w:val="0018596A"/>
    <w:rsid w:val="001B69C2"/>
    <w:rsid w:val="001C4DA0"/>
    <w:rsid w:val="001D4269"/>
    <w:rsid w:val="001E2C6B"/>
    <w:rsid w:val="001E7807"/>
    <w:rsid w:val="00207DF5"/>
    <w:rsid w:val="00232DA1"/>
    <w:rsid w:val="00267369"/>
    <w:rsid w:val="0026785D"/>
    <w:rsid w:val="00280273"/>
    <w:rsid w:val="00292AB7"/>
    <w:rsid w:val="002A1AD0"/>
    <w:rsid w:val="002C31BF"/>
    <w:rsid w:val="002E0CD7"/>
    <w:rsid w:val="002E49D4"/>
    <w:rsid w:val="002F026B"/>
    <w:rsid w:val="0030085D"/>
    <w:rsid w:val="003152CF"/>
    <w:rsid w:val="0032231B"/>
    <w:rsid w:val="00344DBE"/>
    <w:rsid w:val="00357BC6"/>
    <w:rsid w:val="0037111D"/>
    <w:rsid w:val="003756B9"/>
    <w:rsid w:val="00383F3E"/>
    <w:rsid w:val="003956C6"/>
    <w:rsid w:val="003E6B9A"/>
    <w:rsid w:val="003E74C4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6F0"/>
    <w:rsid w:val="004F4B9B"/>
    <w:rsid w:val="00501654"/>
    <w:rsid w:val="00503734"/>
    <w:rsid w:val="00511AB9"/>
    <w:rsid w:val="00523EA7"/>
    <w:rsid w:val="00526670"/>
    <w:rsid w:val="00526C74"/>
    <w:rsid w:val="00542527"/>
    <w:rsid w:val="00545020"/>
    <w:rsid w:val="00551D1F"/>
    <w:rsid w:val="00553375"/>
    <w:rsid w:val="00554444"/>
    <w:rsid w:val="005658A6"/>
    <w:rsid w:val="005720E7"/>
    <w:rsid w:val="005722BB"/>
    <w:rsid w:val="005736B7"/>
    <w:rsid w:val="00575E5A"/>
    <w:rsid w:val="00584E2A"/>
    <w:rsid w:val="0059344F"/>
    <w:rsid w:val="00596C7E"/>
    <w:rsid w:val="005A5F24"/>
    <w:rsid w:val="005A64E9"/>
    <w:rsid w:val="005B5EE9"/>
    <w:rsid w:val="006104F6"/>
    <w:rsid w:val="0061068E"/>
    <w:rsid w:val="006526D3"/>
    <w:rsid w:val="00660AD3"/>
    <w:rsid w:val="00685666"/>
    <w:rsid w:val="006A5570"/>
    <w:rsid w:val="006A689C"/>
    <w:rsid w:val="006B3D79"/>
    <w:rsid w:val="006B6A02"/>
    <w:rsid w:val="006B717E"/>
    <w:rsid w:val="006E0578"/>
    <w:rsid w:val="006E314D"/>
    <w:rsid w:val="006E7F06"/>
    <w:rsid w:val="00710723"/>
    <w:rsid w:val="00712ED1"/>
    <w:rsid w:val="00723ED1"/>
    <w:rsid w:val="00735ED4"/>
    <w:rsid w:val="00743525"/>
    <w:rsid w:val="00747301"/>
    <w:rsid w:val="007531A0"/>
    <w:rsid w:val="0076286B"/>
    <w:rsid w:val="00764595"/>
    <w:rsid w:val="00766846"/>
    <w:rsid w:val="0077673A"/>
    <w:rsid w:val="007846E1"/>
    <w:rsid w:val="007B570C"/>
    <w:rsid w:val="007C0C39"/>
    <w:rsid w:val="007E4A6E"/>
    <w:rsid w:val="007F56A7"/>
    <w:rsid w:val="00805C52"/>
    <w:rsid w:val="00807DD0"/>
    <w:rsid w:val="00813F11"/>
    <w:rsid w:val="00825A76"/>
    <w:rsid w:val="00867652"/>
    <w:rsid w:val="00891334"/>
    <w:rsid w:val="00895CDD"/>
    <w:rsid w:val="008A3568"/>
    <w:rsid w:val="008D03B9"/>
    <w:rsid w:val="008F18D6"/>
    <w:rsid w:val="00904780"/>
    <w:rsid w:val="00904FC4"/>
    <w:rsid w:val="009113A8"/>
    <w:rsid w:val="0091604E"/>
    <w:rsid w:val="00922385"/>
    <w:rsid w:val="009223DF"/>
    <w:rsid w:val="00936091"/>
    <w:rsid w:val="00940052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07D6"/>
    <w:rsid w:val="009D2C4A"/>
    <w:rsid w:val="009D4F61"/>
    <w:rsid w:val="009E07F4"/>
    <w:rsid w:val="009F392E"/>
    <w:rsid w:val="009F7D3F"/>
    <w:rsid w:val="00A1284C"/>
    <w:rsid w:val="00A34313"/>
    <w:rsid w:val="00A44328"/>
    <w:rsid w:val="00A6177B"/>
    <w:rsid w:val="00A66136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AF3AEB"/>
    <w:rsid w:val="00B02ED8"/>
    <w:rsid w:val="00B159F1"/>
    <w:rsid w:val="00B15B5E"/>
    <w:rsid w:val="00B15D0D"/>
    <w:rsid w:val="00B23CA3"/>
    <w:rsid w:val="00B3491A"/>
    <w:rsid w:val="00B45E9E"/>
    <w:rsid w:val="00B55F9C"/>
    <w:rsid w:val="00B75EE1"/>
    <w:rsid w:val="00B76B7F"/>
    <w:rsid w:val="00B77481"/>
    <w:rsid w:val="00B8518B"/>
    <w:rsid w:val="00BB3740"/>
    <w:rsid w:val="00BD5319"/>
    <w:rsid w:val="00BD7E91"/>
    <w:rsid w:val="00BF3589"/>
    <w:rsid w:val="00BF374D"/>
    <w:rsid w:val="00BF6D48"/>
    <w:rsid w:val="00C02D0A"/>
    <w:rsid w:val="00C03A6E"/>
    <w:rsid w:val="00C23946"/>
    <w:rsid w:val="00C30759"/>
    <w:rsid w:val="00C36586"/>
    <w:rsid w:val="00C4215A"/>
    <w:rsid w:val="00C44F6A"/>
    <w:rsid w:val="00C727E5"/>
    <w:rsid w:val="00C8207D"/>
    <w:rsid w:val="00C920AE"/>
    <w:rsid w:val="00CB0EEC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8517B"/>
    <w:rsid w:val="00D902AD"/>
    <w:rsid w:val="00DA6D8F"/>
    <w:rsid w:val="00DA6FFE"/>
    <w:rsid w:val="00DC3110"/>
    <w:rsid w:val="00DD3B8B"/>
    <w:rsid w:val="00DD46F3"/>
    <w:rsid w:val="00DD58A6"/>
    <w:rsid w:val="00DE56F2"/>
    <w:rsid w:val="00DF02D9"/>
    <w:rsid w:val="00DF116D"/>
    <w:rsid w:val="00E10710"/>
    <w:rsid w:val="00E246A9"/>
    <w:rsid w:val="00E824F1"/>
    <w:rsid w:val="00E934D7"/>
    <w:rsid w:val="00EB104F"/>
    <w:rsid w:val="00EC3600"/>
    <w:rsid w:val="00ED14BD"/>
    <w:rsid w:val="00ED2AEF"/>
    <w:rsid w:val="00EF6A2B"/>
    <w:rsid w:val="00F01440"/>
    <w:rsid w:val="00F0232C"/>
    <w:rsid w:val="00F05A53"/>
    <w:rsid w:val="00F12DEC"/>
    <w:rsid w:val="00F1715C"/>
    <w:rsid w:val="00F310F8"/>
    <w:rsid w:val="00F3368D"/>
    <w:rsid w:val="00F35939"/>
    <w:rsid w:val="00F45607"/>
    <w:rsid w:val="00F64786"/>
    <w:rsid w:val="00F659EB"/>
    <w:rsid w:val="00F76AFD"/>
    <w:rsid w:val="00F804A7"/>
    <w:rsid w:val="00F862D6"/>
    <w:rsid w:val="00F86BA6"/>
    <w:rsid w:val="00FC6389"/>
    <w:rsid w:val="00FD2F51"/>
    <w:rsid w:val="00FE31CA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C773E91-C3A4-473E-804C-4EF981B9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1</Pages>
  <Words>1356</Words>
  <Characters>8001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5</cp:revision>
  <cp:lastPrinted>2023-06-20T11:00:00Z</cp:lastPrinted>
  <dcterms:created xsi:type="dcterms:W3CDTF">2023-06-20T10:55:00Z</dcterms:created>
  <dcterms:modified xsi:type="dcterms:W3CDTF">2023-06-20T11:01:00Z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